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/>
  <w:body>
    <w:p>
      <w:pPr>
        <w:pStyle w:val="Heading3"/>
        <w:widowControl/>
      </w:pPr>
      <w:r>
        <w:t xml:space="preserve">分析流程</w:t>
      </w:r>
      <w:r>
        <w:rPr>
          <w:b w:val="false"/>
          <w:bCs w:val="false"/>
          <w:color w:val="000000"/>
          <w:sz w:val="18"/>
          <w:szCs w:val="18"/>
        </w:rPr>
        <w:br/>
        <w:br/>
        <w:t xml:space="preserve">数据源：</w:t>
      </w:r>
      <w:r>
        <w:rPr>
          <w:b w:val="false"/>
          <w:bCs w:val="false"/>
          <w:color w:val="000000"/>
          <w:sz w:val="18"/>
          <w:szCs w:val="18"/>
        </w:rPr>
        <w:br/>
        <w:t xml:space="preserve">正向化后数据_副本(1).xlsx</w:t>
      </w:r>
      <w:r>
        <w:rPr>
          <w:b w:val="false"/>
          <w:bCs w:val="false"/>
          <w:color w:val="000000"/>
          <w:sz w:val="18"/>
          <w:szCs w:val="18"/>
        </w:rPr>
        <w:br/>
        <w:br/>
        <w:t xml:space="preserve">算法配置：</w:t>
      </w:r>
      <w:r>
        <w:rPr>
          <w:b w:val="false"/>
          <w:bCs w:val="false"/>
          <w:color w:val="000000"/>
          <w:sz w:val="18"/>
          <w:szCs w:val="18"/>
        </w:rPr>
        <w:br/>
        <w:t xml:space="preserve">算法：
偏最小二乘法</w:t>
      </w:r>
      <w:r>
        <w:rPr>
          <w:b w:val="false"/>
          <w:bCs w:val="false"/>
          <w:color w:val="000000"/>
          <w:sz w:val="18"/>
          <w:szCs w:val="18"/>
        </w:rPr>
        <w:br/>
        <w:t xml:space="preserve">变量：
变量Y:{1 try，2 tries，3 tries，4 tries，5 tries，6 tries，7 or more tries (X)}；变量X:{单词是否具有专业性，单词频率，外来词，单词形式，字母重复次数，Orth}</w:t>
      </w:r>
      <w:r>
        <w:rPr>
          <w:b w:val="false"/>
          <w:bCs w:val="false"/>
          <w:color w:val="000000"/>
          <w:sz w:val="18"/>
          <w:szCs w:val="18"/>
        </w:rPr>
        <w:br/>
        <w:t xml:space="preserve">参数：
是否自动确定最大主成分数量:{5}</w:t>
      </w:r>
      <w:r>
        <w:rPr>
          <w:b w:val="false"/>
          <w:bCs w:val="false"/>
          <w:color w:val="000000"/>
          <w:sz w:val="18"/>
          <w:szCs w:val="18"/>
        </w:rPr>
        <w:br/>
        <w:br/>
        <w:t xml:space="preserve">分析结果：</w:t>
      </w:r>
      <w:r>
        <w:rPr>
          <w:b w:val="false"/>
          <w:bCs w:val="false"/>
          <w:color w:val="000000"/>
          <w:sz w:val="18"/>
          <w:szCs w:val="18"/>
        </w:rPr>
        <w:br/>
        <w:t xml:space="preserve">偏最小二乘法是用于解决多个因变量的回归，请看详细结论进行分析。 </w:t>
      </w:r>
    </w:p>
    <w:p>
      <w:pPr>
        <w:pStyle w:val="Heading3"/>
        <w:widowControl/>
        <w:jc w:val="left"/>
      </w:pPr>
      <w:r>
        <w:t xml:space="preserve">分析步骤</w:t>
      </w:r>
      <w:r>
        <w:rPr>
          <w:b w:val="false"/>
          <w:bCs w:val="false"/>
          <w:color w:val="000000"/>
          <w:sz w:val="18"/>
          <w:szCs w:val="18"/>
        </w:rPr>
        <w:br/>
        <w:br/>
        <w:t xml:space="preserve">1.
通过方差解释情况和VIP（累积投影重要性）参考最大主成分数量。</w:t>
      </w:r>
      <w:r>
        <w:rPr>
          <w:b w:val="false"/>
          <w:bCs w:val="false"/>
          <w:color w:val="000000"/>
          <w:sz w:val="18"/>
          <w:szCs w:val="18"/>
        </w:rPr>
        <w:br/>
        <w:t xml:space="preserve">2.
通过成分矩阵表得到主成分的组成情况。</w:t>
      </w:r>
      <w:r>
        <w:rPr>
          <w:b w:val="false"/>
          <w:bCs w:val="false"/>
          <w:color w:val="000000"/>
          <w:sz w:val="18"/>
          <w:szCs w:val="18"/>
        </w:rPr>
        <w:br/>
        <w:t xml:space="preserve">3.
通过因子载荷系数表得到变量的重要性。</w:t>
      </w:r>
      <w:r>
        <w:rPr>
          <w:b w:val="false"/>
          <w:bCs w:val="false"/>
          <w:color w:val="000000"/>
          <w:sz w:val="18"/>
          <w:szCs w:val="18"/>
        </w:rPr>
        <w:br/>
        <w:t xml:space="preserve">4.
最终得到偏最小二乘回归(PLSR)的标准化公式。</w:t>
      </w:r>
    </w:p>
    <w:p>
      <w:pPr>
        <w:pStyle w:val="Heading3"/>
        <w:widowControl/>
      </w:pPr>
      <w:r>
        <w:t xml:space="preserve">详细结论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输出结果1：因子方差解释情况表</w:t>
      </w:r>
    </w:p>
    <w:tbl>
      <w:tblPr>
        <w:tblW w:type="pct" w:w="4000%"/>
        <w:jc w:val="center"/>
        <w:tblInd w:type="pct" w:w="200%"/>
        <w:tblBorders>
          <w:top w:val="single" w:color="auto" w:sz="4"/>
          <w:left w:val="none"/>
          <w:bottom w:val="single" w:color="auto" w:sz="4"/>
          <w:right w:val="none"/>
          <w:insideH w:val="none"/>
          <w:insideV w:val="none"/>
        </w:tblBorders>
        <w:tblLayout w:type="autofit"/>
      </w:tblPr>
      <w:tblGrid>
        <w:gridCol w:w="100"/>
        <w:gridCol w:w="100"/>
        <w:gridCol w:w="100"/>
        <w:gridCol w:w="100"/>
        <w:gridCol w:w="100"/>
        <w:gridCol w:w="100"/>
      </w:tblGrid>
      <w:tr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潜在因子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X方差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累计的X方差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Y方差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累计的Y方差(R²)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调整后的R²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0.102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0.102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0.464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0.059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0.157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0.191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0.655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0.179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0.834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0.158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0.156</w:t>
            </w:r>
          </w:p>
        </w:tc>
      </w:tr>
    </w:tbl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上表展示潜在因子的信息综合解释能力。其中，累计的X方差代表对自变量信息的提取，累计的Y²(R²)代表对因变量信息的提取，可以以此为依据确定参数最大主成分数量。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智能分析：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因子对方差解释情况表的结果显示，前4个潜在因子就可解释自变量80%的信息，全部潜在因子也不能解释因变量80%的信息。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输出结果2：自变量VIP（累积投影重要性）汇总表</w:t>
      </w:r>
    </w:p>
    <w:tbl>
      <w:tblPr>
        <w:tblW w:type="pct" w:w="4000%"/>
        <w:jc w:val="center"/>
        <w:tblInd w:type="pct" w:w="200%"/>
        <w:tblBorders>
          <w:top w:val="single" w:color="auto" w:sz="4"/>
          <w:left w:val="none"/>
          <w:bottom w:val="single" w:color="auto" w:sz="4"/>
          <w:right w:val="none"/>
          <w:insideH w:val="none"/>
          <w:insideV w:val="none"/>
        </w:tblBorders>
        <w:tblLayout w:type="autofit"/>
      </w:tblPr>
      <w:tblGrid>
        <w:gridCol w:w="100"/>
        <w:gridCol w:w="100"/>
        <w:gridCol w:w="100"/>
        <w:gridCol w:w="100"/>
        <w:gridCol w:w="100"/>
        <w:gridCol w:w="100"/>
      </w:tblGrid>
      <w:tr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变量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因子1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因子2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因子3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因子4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单词是否具有专业性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0.281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单词频率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1.073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0.855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0.843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外来词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0.525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0.423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0.484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0.502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0.502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单词形式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0.769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0.745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0.749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字母重复次数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1.923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1.599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1.575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1.571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1.57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Orth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0.529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1.415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1.396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1.393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1.392</w:t>
            </w:r>
          </w:p>
        </w:tc>
      </w:tr>
    </w:tbl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上表展示VIP（累积投影重要性）的情况，它表示成分个数不同时，X对于Y的解释重要性力度，也可以用于参考最大主成分数量。其中对于VIP很大（大于1）的自变量，它在解释潜在因子（从而在解释因变量）时作用相对更大一些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输出结果3：自变量VIP（累积投影重要性）图</w:t>
      </w:r>
    </w:p>
    <w:p>
      <w:pPr>
        <w:spacing w:after="500"/>
        <w:jc w:val="center"/>
      </w:pPr>
      <w:r>
        <w:drawing>
          <wp:inline distT="0" distB="0" distL="0" distR="0">
            <wp:extent cx="4762500" cy="1170908"/>
            <wp:effectExtent b="0" l="0" r="0" t="0"/>
            <wp:docPr id="0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5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17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上图将VIP（累积投影重要性）的情况可视化的展示出来。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输出结果4：成分矩阵表</w:t>
      </w:r>
    </w:p>
    <w:tbl>
      <w:tblPr>
        <w:tblW w:type="pct" w:w="4000%"/>
        <w:jc w:val="center"/>
        <w:tblInd w:type="pct" w:w="200%"/>
        <w:tblBorders>
          <w:top w:val="single" w:color="auto" w:sz="4"/>
          <w:left w:val="none"/>
          <w:bottom w:val="single" w:color="auto" w:sz="4"/>
          <w:right w:val="none"/>
          <w:insideH w:val="none"/>
          <w:insideV w:val="none"/>
        </w:tblBorders>
        <w:tblLayout w:type="autofit"/>
      </w:tblPr>
      <w:tblGrid>
        <w:gridCol w:w="100"/>
        <w:gridCol w:w="100"/>
        <w:gridCol w:w="100"/>
        <w:gridCol w:w="100"/>
        <w:gridCol w:w="100"/>
        <w:gridCol w:w="100"/>
      </w:tblGrid>
      <w:tr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变量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因子1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因子2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因子3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因子4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单词是否具有专业性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-0.028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0.105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0.481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-0.184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0.817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单词频率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0.438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-0.077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0.224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外来词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-0.066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0.763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-0.199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单词形式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0.211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0.519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-0.587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-0.472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字母重复次数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0.785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-0.394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0.158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Orth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0.889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-0.345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0.192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0.049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 try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1.608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1.531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6.379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-0.819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12.595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2.567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0.255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4.351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10.659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-18.166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-2.164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-1.589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-9.372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-14.629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-2.868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2.64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0.832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10.472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17.493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16.007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-0.324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-0.705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0.625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-2.987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-19.544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-2.11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0.217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-4.861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-9.665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8.415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7 or more tries (X)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2.195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2.016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6.649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17.331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8.088</w:t>
            </w:r>
          </w:p>
        </w:tc>
      </w:tr>
    </w:tbl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由上表可得到主成分分析降维后的成分矩阵表。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输出结果5：因子载荷系数表</w:t>
      </w:r>
    </w:p>
    <w:tbl>
      <w:tblPr>
        <w:tblW w:type="pct" w:w="4000%"/>
        <w:jc w:val="center"/>
        <w:tblInd w:type="pct" w:w="200%"/>
        <w:tblBorders>
          <w:top w:val="single" w:color="auto" w:sz="4"/>
          <w:left w:val="none"/>
          <w:bottom w:val="single" w:color="auto" w:sz="4"/>
          <w:right w:val="none"/>
          <w:insideH w:val="none"/>
          <w:insideV w:val="none"/>
        </w:tblBorders>
        <w:tblLayout w:type="autofit"/>
      </w:tblPr>
      <w:tblGrid>
        <w:gridCol w:w="100"/>
        <w:gridCol w:w="100"/>
        <w:gridCol w:w="100"/>
        <w:gridCol w:w="100"/>
        <w:gridCol w:w="100"/>
        <w:gridCol w:w="100"/>
      </w:tblGrid>
      <w:tr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变量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因子1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因子2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因子3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因子4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因子5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单词是否具有专业性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0.043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0.535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-0.126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0.845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单词频率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0.417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-0.026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-0.149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-0.083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0.211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外来词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0.328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0.786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-0.138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单词形式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0.402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0.256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0.524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-0.568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-0.454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字母重复次数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-0.326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0.113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Orth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0.278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0.898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-0.245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0.066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 try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0.281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0.027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-0.071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0.371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0.061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-0.081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-0.011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0.361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-0.189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-0.093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0.016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0.015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0.021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-0.399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0.142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-0.028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 tries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-0.254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0.015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7 or more tries (X)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-0.065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0.359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-0.064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0.035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-0.007</w:t>
            </w:r>
          </w:p>
        </w:tc>
      </w:tr>
    </w:tbl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上表为因子载荷系数表，可以分析到每个因子中隐变量的重要性。</w:t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输出结果6：模型系数结果表</w:t>
      </w:r>
    </w:p>
    <w:tbl>
      <w:tblPr>
        <w:tblW w:type="pct" w:w="4000%"/>
        <w:jc w:val="center"/>
        <w:tblInd w:type="pct" w:w="200%"/>
        <w:tblBorders>
          <w:top w:val="single" w:color="auto" w:sz="4"/>
          <w:left w:val="none"/>
          <w:bottom w:val="single" w:color="auto" w:sz="4"/>
          <w:right w:val="none"/>
          <w:insideH w:val="none"/>
          <w:insideV w:val="none"/>
        </w:tblBorders>
        <w:tblLayout w:type="autofit"/>
      </w:tblPr>
      <w:tblGrid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  <w:gridCol w:w="100"/>
      </w:tblGrid>
      <w:tr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 try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 tries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 tries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 tries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 tries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 tries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7 or more tries (X)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 try(标准化)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2 tries(标准化)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 tries(标准化)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4 tries(标准化)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 tries(标准化)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6 tries(标准化)</w:t>
            </w:r>
          </w:p>
        </w:tc>
        <w:tc>
          <w:tcPr>
            <w:gridSpan w:val="1"/>
            <w:tcBorders>
              <w:top w:val="singl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7 or more tries (X)(标准化)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常数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-0.753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12.296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32.279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32.034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19.088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5.139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单词是否具有专业性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-1.133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-2.718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1.996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1.345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-0.048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0.058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0.037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-0.002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单词频率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0.019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-0.003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0.154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0.207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-0.202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-0.135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外来词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0.038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0.692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1.433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1.914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-0.395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-2.341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-1.151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0.027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0.029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0.056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-0.059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-0.044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单词形式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0.786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0.395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-0.878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-0.379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-0.208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0.039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0.174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0.098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0.026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-0.084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-0.033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-0.017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0.005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字母重复次数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0.134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1.307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3.175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0.568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-2.34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-2.05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-0.754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0.301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0.383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-0.369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-0.31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non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-0.172</w:t>
            </w:r>
          </w:p>
        </w:tc>
      </w:tr>
      <w:tr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Orth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0.054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0.254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-0.184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-0.785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-0.296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0.416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0.529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0.179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0.162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-0.062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-0.382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-0.13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0.175</w:t>
            </w:r>
          </w:p>
        </w:tc>
        <w:tc>
          <w:tcPr>
            <w:gridSpan w:val="1"/>
            <w:tcBorders>
              <w:top w:val="none" w:color="000000" w:sz="10"/>
              <w:left w:val="none"/>
              <w:bottom w:val="single" w:color="000000" w:sz="10"/>
              <w:right w:val="none"/>
            </w:tcBorders>
            <w:vAlign w:val="center"/>
          </w:tcPr>
          <w:p>
            <w:pPr>
              <w:pBdr>
                <w:left w:val="none"/>
                <w:right w:val="none"/>
              </w:pBdr>
              <w:jc w:val="center"/>
            </w:pPr>
            <w:r>
              <w:rPr>
                <w:sz w:val="18"/>
                <w:szCs w:val="18"/>
              </w:rPr>
              <w:t xml:space="preserve">0.334</w:t>
            </w:r>
          </w:p>
        </w:tc>
      </w:tr>
    </w:tbl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图表说明：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展示了本次PLS模型结果，主要包括模型的系数，用于分析自变量X对于因变量Y的影响关系情况。</w:t>
      </w:r>
      <w:r>
        <w:rPr>
          <w:b w:val="false"/>
          <w:bCs w:val="false"/>
          <w:color w:val="000000"/>
          <w:sz w:val="18"/>
          <w:szCs w:val="18"/>
        </w:rPr>
        <w:br/>
      </w:r>
    </w:p>
    <w:p>
      <w:pPr>
        <w:widowControl/>
        <w:spacing w:after="100" w:before="0"/>
        <w:ind w:left="720" w:right="720"/>
        <w:jc w:val="left"/>
      </w:pPr>
      <w:r>
        <w:rPr>
          <w:b/>
          <w:bCs/>
          <w:color w:val="000000"/>
          <w:sz w:val="20"/>
          <w:szCs w:val="20"/>
        </w:rPr>
        <w:br/>
        <w:t xml:space="preserve">智能分析：</w:t>
      </w:r>
    </w:p>
    <w:p>
      <w:pPr>
        <w:widowControl/>
        <w:spacing w:after="100" w:before="0"/>
        <w:ind w:left="720" w:right="720"/>
        <w:jc w:val="left"/>
      </w:pPr>
      <w:r>
        <w:rPr>
          <w:b w:val="false"/>
          <w:bCs w:val="false"/>
          <w:color w:val="000000"/>
          <w:sz w:val="18"/>
          <w:szCs w:val="18"/>
        </w:rPr>
        <w:t xml:space="preserve">模型的标准化公式为：</w:t>
      </w:r>
      <w:r>
        <w:rPr>
          <w:b w:val="false"/>
          <w:bCs w:val="false"/>
          <w:color w:val="000000"/>
          <w:sz w:val="18"/>
          <w:szCs w:val="18"/>
        </w:rPr>
        <w:br/>
        <w:t xml:space="preserve">1 try = -0.753+0.18 * 单词是否具有专业性+0.001 * 单词频率+0.038 * 外来词+0.268 * 单词形式+0.134 * 字母重复次数+0.054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2 tries = -0.308-1.133 * 单词是否具有专业性+0.008 * 单词频率+0.692 * 外来词+0.786 * 单词形式+1.307 * 字母重复次数+0.254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3 tries = 12.296-2.718 * 单词是否具有专业性+0.019 * 单词频率+1.433 * 外来词+0.395 * 单词形式+3.175 * 字母重复次数-0.184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4 tries = 32.279+0.262 * 单词是否具有专业性-0.001 * 单词频率+1.914 * 外来词-0.878 * 单词形式+0.568 * 字母重复次数-0.785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5 tries = 32.034+1.996 * 单词是否具有专业性-0.014 * 单词频率-0.395 * 外来词-0.379 * 单词形式-2.34 * 字母重复次数-0.296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6 tries = 19.088+1.345 * 单词是否具有专业性-0.01 * 单词频率-2.341 * 外来词-0.208 * 单词形式-2.05 * 字母重复次数+0.416 * Orth</w:t>
      </w:r>
      <w:r>
        <w:rPr>
          <w:b w:val="false"/>
          <w:bCs w:val="false"/>
          <w:color w:val="000000"/>
          <w:sz w:val="18"/>
          <w:szCs w:val="18"/>
        </w:rPr>
        <w:br/>
        <w:t xml:space="preserve">7 or more tries (X) = 5.139-0.058 * 单词是否具有专业性-0.003 * 单词频率-1.151 * 外来词+0.039 * 单词形式-0.754 * 字母重复次数+0.529 * Orth</w:t>
      </w:r>
      <w:r>
        <w:rPr>
          <w:b w:val="false"/>
          <w:bCs w:val="false"/>
          <w:color w:val="000000"/>
          <w:sz w:val="18"/>
          <w:szCs w:val="18"/>
        </w:rPr>
        <w:br/>
      </w:r>
    </w:p>
    <w:p>
      <w:pPr>
        <w:pStyle w:val="Heading3"/>
        <w:widowControl/>
      </w:pPr>
      <w:r>
        <w:t xml:space="preserve">参考文献</w:t>
      </w:r>
      <w:r>
        <w:rPr>
          <w:b w:val="false"/>
          <w:bCs w:val="false"/>
          <w:color w:val="000000"/>
          <w:sz w:val="18"/>
          <w:szCs w:val="18"/>
        </w:rPr>
        <w:br/>
        <w:t xml:space="preserve">[1] Scientific Platform Serving for Statistics Professional 2021. SPSSPRO. (Version 1.0.11)[Online Application Software]. Retrieved from https://www.spsspro.com.</w:t>
      </w:r>
      <w:r>
        <w:rPr>
          <w:b w:val="false"/>
          <w:bCs w:val="false"/>
          <w:color w:val="000000"/>
          <w:sz w:val="18"/>
          <w:szCs w:val="18"/>
        </w:rPr>
        <w:br/>
        <w:t xml:space="preserve">[2] 梁北辰,戴景民. 偏最小二乘法在系统故障诊断中的应用[J]. 哈尔滨工业大学学报,2020,52(3):156-164. DOI:10.11918/201805149.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pPr>
      <w:spacing w:before="300"/>
      <w:ind w:left="720" w:right="720"/>
    </w:pPr>
    <w:rPr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image" Target="media/qkkaany4gz9k0d9laliup.png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SPSSPRO</dc:creator>
  <cp:lastModifiedBy>Un-named</cp:lastModifiedBy>
  <cp:revision>1</cp:revision>
  <dcterms:created xsi:type="dcterms:W3CDTF">2023-02-18T08:39:09.594Z</dcterms:created>
  <dcterms:modified xsi:type="dcterms:W3CDTF">2023-02-18T08:39:09.594Z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